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F7" w:rsidRPr="00DA48FC" w:rsidRDefault="008975F7" w:rsidP="008975F7">
      <w:pPr>
        <w:rPr>
          <w:rFonts w:cs="Arial"/>
          <w:b/>
        </w:rPr>
      </w:pPr>
      <w:r w:rsidRPr="00DA48FC">
        <w:rPr>
          <w:rFonts w:cs="Arial"/>
          <w:b/>
        </w:rPr>
        <w:t xml:space="preserve">Appendix </w:t>
      </w:r>
      <w:r w:rsidR="00F63480">
        <w:rPr>
          <w:rFonts w:cs="Arial"/>
          <w:b/>
        </w:rPr>
        <w:t>2</w:t>
      </w:r>
      <w:r w:rsidRPr="00DA48FC">
        <w:rPr>
          <w:rFonts w:cs="Arial"/>
          <w:b/>
        </w:rPr>
        <w:t>: Oxford Local Plan 2036 Draft Consultation and Engagement Programme</w:t>
      </w:r>
    </w:p>
    <w:p w:rsidR="008975F7" w:rsidRPr="00DA48FC" w:rsidRDefault="008975F7" w:rsidP="008975F7">
      <w:pPr>
        <w:rPr>
          <w:rFonts w:cs="Arial"/>
          <w:b/>
        </w:rPr>
      </w:pPr>
    </w:p>
    <w:p w:rsidR="008975F7" w:rsidRPr="00DA48FC" w:rsidRDefault="008975F7" w:rsidP="008975F7">
      <w:pPr>
        <w:rPr>
          <w:rFonts w:cs="Arial"/>
        </w:rPr>
      </w:pPr>
    </w:p>
    <w:p w:rsidR="008975F7" w:rsidRPr="00DA48FC" w:rsidRDefault="008975F7" w:rsidP="008975F7">
      <w:pPr>
        <w:rPr>
          <w:rFonts w:cs="Arial"/>
        </w:rPr>
      </w:pPr>
      <w:r w:rsidRPr="00DA48FC">
        <w:rPr>
          <w:rFonts w:cs="Arial"/>
        </w:rPr>
        <w:t xml:space="preserve">We will aim to have a plan shaped by the community and businesses, so that they will inform the plan as well as have a sense of ownership. Consultation will be at the heart of development of the Plan at every stage. We will welcome diverse inputs from organisations and wide range of local people and where possible we will look to see how respondents reflect the profile of the community. In the early stages the community will have a chance to shape the issues the Plan covers, helping to set out a vision. In the later stages, they will be able to inform and check the direction that the plan is going in. It is important to ensure that consultation is planned and programmed to ensure that interested parties are aware of the project and become involved at the best stage in the process. Because of the greater opportunity to shape the plan in the earlier stages, consultation and engagement will be ‘front loaded’, with an emphasis </w:t>
      </w:r>
      <w:proofErr w:type="gramStart"/>
      <w:r w:rsidRPr="00DA48FC">
        <w:rPr>
          <w:rFonts w:cs="Arial"/>
        </w:rPr>
        <w:t>on  involving</w:t>
      </w:r>
      <w:proofErr w:type="gramEnd"/>
      <w:r w:rsidRPr="00DA48FC">
        <w:rPr>
          <w:rFonts w:cs="Arial"/>
        </w:rPr>
        <w:t xml:space="preserve"> people at the early stages of developing the new plan. Engagement and consultation at all stages will be consistent with the Statement of Community Involvement in Planning, and appropriate to the stage. </w:t>
      </w:r>
    </w:p>
    <w:p w:rsidR="008975F7" w:rsidRPr="00DA48FC" w:rsidRDefault="008975F7" w:rsidP="008975F7">
      <w:pPr>
        <w:rPr>
          <w:rFonts w:cs="Arial"/>
        </w:rPr>
      </w:pPr>
    </w:p>
    <w:p w:rsidR="008975F7" w:rsidRPr="00DA48FC" w:rsidRDefault="008975F7" w:rsidP="008975F7">
      <w:pPr>
        <w:rPr>
          <w:rFonts w:cs="Arial"/>
        </w:rPr>
      </w:pPr>
    </w:p>
    <w:p w:rsidR="008975F7" w:rsidRPr="00DA48FC" w:rsidRDefault="008975F7" w:rsidP="008975F7">
      <w:pPr>
        <w:rPr>
          <w:rFonts w:cs="Arial"/>
        </w:rPr>
      </w:pPr>
      <w:r w:rsidRPr="00DA48FC">
        <w:rPr>
          <w:rFonts w:cs="Arial"/>
        </w:rPr>
        <w:t>We anticipate that there will</w:t>
      </w:r>
      <w:bookmarkStart w:id="0" w:name="_GoBack"/>
      <w:bookmarkEnd w:id="0"/>
      <w:r w:rsidRPr="00DA48FC">
        <w:rPr>
          <w:rFonts w:cs="Arial"/>
        </w:rPr>
        <w:t xml:space="preserve"> be a wide range of views to be considered and from different communities and interests within</w:t>
      </w:r>
      <w:r w:rsidR="00DA48FC">
        <w:rPr>
          <w:rFonts w:cs="Arial"/>
        </w:rPr>
        <w:t xml:space="preserve"> and outside the city</w:t>
      </w:r>
      <w:r w:rsidRPr="00DA48FC">
        <w:rPr>
          <w:rFonts w:cs="Arial"/>
        </w:rPr>
        <w:t xml:space="preserve">.  The consultation responses and engagement are an important input in forming the Local Plan. The Evidence base, Government policy and so on will also be important in informing policy direction, together with professional judgement. We will aim to be clear at all stages of consultation and engagement that there are constraints to what can be included in a Plan, and that the engagement  process is  a chance for people to put forward views that will help inform the direction of the plan. </w:t>
      </w:r>
    </w:p>
    <w:p w:rsidR="008975F7" w:rsidRPr="00DA48FC" w:rsidRDefault="008975F7" w:rsidP="008975F7">
      <w:pPr>
        <w:rPr>
          <w:rFonts w:cs="Arial"/>
        </w:rPr>
      </w:pPr>
    </w:p>
    <w:p w:rsidR="008975F7" w:rsidRPr="00DA48FC" w:rsidRDefault="008975F7" w:rsidP="008975F7">
      <w:pPr>
        <w:rPr>
          <w:rFonts w:cs="Arial"/>
          <w:b/>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p>
    <w:p w:rsidR="008975F7" w:rsidRPr="00DA48FC" w:rsidRDefault="008975F7" w:rsidP="008975F7">
      <w:pPr>
        <w:rPr>
          <w:rFonts w:cs="Arial"/>
          <w:b/>
          <w:shd w:val="clear" w:color="auto" w:fill="FFFFFF"/>
        </w:rPr>
      </w:pPr>
      <w:r w:rsidRPr="00DA48FC">
        <w:rPr>
          <w:rFonts w:cs="Arial"/>
          <w:b/>
          <w:shd w:val="clear" w:color="auto" w:fill="FFFFFF"/>
        </w:rPr>
        <w:lastRenderedPageBreak/>
        <w:t>Options for different stages of consultation and engagement</w:t>
      </w:r>
    </w:p>
    <w:tbl>
      <w:tblPr>
        <w:tblStyle w:val="TableGrid"/>
        <w:tblpPr w:leftFromText="180" w:rightFromText="180" w:vertAnchor="text" w:horzAnchor="margin" w:tblpXSpec="center" w:tblpY="194"/>
        <w:tblW w:w="13751" w:type="dxa"/>
        <w:tblLayout w:type="fixed"/>
        <w:tblLook w:val="04A0" w:firstRow="1" w:lastRow="0" w:firstColumn="1" w:lastColumn="0" w:noHBand="0" w:noVBand="1"/>
      </w:tblPr>
      <w:tblGrid>
        <w:gridCol w:w="1736"/>
        <w:gridCol w:w="2403"/>
        <w:gridCol w:w="2402"/>
        <w:gridCol w:w="2402"/>
        <w:gridCol w:w="2402"/>
        <w:gridCol w:w="2406"/>
      </w:tblGrid>
      <w:tr w:rsidR="008975F7" w:rsidRPr="00DA48FC" w:rsidTr="00EF3A43">
        <w:tc>
          <w:tcPr>
            <w:tcW w:w="1735" w:type="dxa"/>
            <w:tcBorders>
              <w:bottom w:val="single" w:sz="18" w:space="0" w:color="auto"/>
            </w:tcBorders>
            <w:shd w:val="clear" w:color="auto" w:fill="595959" w:themeFill="text1" w:themeFillTint="A6"/>
          </w:tcPr>
          <w:p w:rsidR="008975F7" w:rsidRPr="00DA48FC" w:rsidRDefault="008975F7" w:rsidP="00EF3A43">
            <w:pPr>
              <w:contextualSpacing/>
              <w:rPr>
                <w:rFonts w:ascii="Arial" w:hAnsi="Arial" w:cs="Arial"/>
                <w:b/>
                <w:color w:val="FFFFFF" w:themeColor="background1"/>
                <w:sz w:val="24"/>
                <w:szCs w:val="24"/>
              </w:rPr>
            </w:pPr>
            <w:r w:rsidRPr="00DA48FC">
              <w:rPr>
                <w:rFonts w:ascii="Arial" w:hAnsi="Arial" w:cs="Arial"/>
                <w:b/>
                <w:color w:val="FFFFFF" w:themeColor="background1"/>
                <w:sz w:val="24"/>
                <w:szCs w:val="24"/>
              </w:rPr>
              <w:t>Stage</w:t>
            </w:r>
          </w:p>
        </w:tc>
        <w:tc>
          <w:tcPr>
            <w:tcW w:w="2403" w:type="dxa"/>
            <w:tcBorders>
              <w:bottom w:val="single" w:sz="18" w:space="0" w:color="auto"/>
            </w:tcBorders>
            <w:shd w:val="clear" w:color="auto" w:fill="595959" w:themeFill="text1" w:themeFillTint="A6"/>
          </w:tcPr>
          <w:p w:rsidR="008975F7" w:rsidRPr="00DA48FC" w:rsidRDefault="008975F7" w:rsidP="00EF3A43">
            <w:pPr>
              <w:contextualSpacing/>
              <w:rPr>
                <w:rFonts w:ascii="Arial" w:hAnsi="Arial" w:cs="Arial"/>
                <w:b/>
                <w:color w:val="FFFFFF" w:themeColor="background1"/>
                <w:sz w:val="24"/>
                <w:szCs w:val="24"/>
              </w:rPr>
            </w:pPr>
            <w:r w:rsidRPr="00DA48FC">
              <w:rPr>
                <w:rFonts w:ascii="Arial" w:hAnsi="Arial" w:cs="Arial"/>
                <w:b/>
                <w:color w:val="FFFFFF" w:themeColor="background1"/>
                <w:sz w:val="24"/>
                <w:szCs w:val="24"/>
              </w:rPr>
              <w:t xml:space="preserve"> What to consult on</w:t>
            </w:r>
          </w:p>
        </w:tc>
        <w:tc>
          <w:tcPr>
            <w:tcW w:w="2403" w:type="dxa"/>
            <w:tcBorders>
              <w:bottom w:val="single" w:sz="18" w:space="0" w:color="auto"/>
            </w:tcBorders>
            <w:shd w:val="clear" w:color="auto" w:fill="595959" w:themeFill="text1" w:themeFillTint="A6"/>
          </w:tcPr>
          <w:p w:rsidR="008975F7" w:rsidRPr="00DA48FC" w:rsidRDefault="008975F7" w:rsidP="00EF3A43">
            <w:pPr>
              <w:contextualSpacing/>
              <w:rPr>
                <w:rFonts w:ascii="Arial" w:hAnsi="Arial" w:cs="Arial"/>
                <w:b/>
                <w:color w:val="FFFFFF" w:themeColor="background1"/>
                <w:sz w:val="24"/>
                <w:szCs w:val="24"/>
              </w:rPr>
            </w:pPr>
            <w:r w:rsidRPr="00DA48FC">
              <w:rPr>
                <w:rFonts w:ascii="Arial" w:hAnsi="Arial" w:cs="Arial"/>
                <w:b/>
                <w:color w:val="FFFFFF" w:themeColor="background1"/>
                <w:sz w:val="24"/>
                <w:szCs w:val="24"/>
              </w:rPr>
              <w:t>Benefits/purpose of this stage</w:t>
            </w:r>
          </w:p>
        </w:tc>
        <w:tc>
          <w:tcPr>
            <w:tcW w:w="2403" w:type="dxa"/>
            <w:tcBorders>
              <w:bottom w:val="single" w:sz="18" w:space="0" w:color="auto"/>
            </w:tcBorders>
            <w:shd w:val="clear" w:color="auto" w:fill="595959" w:themeFill="text1" w:themeFillTint="A6"/>
          </w:tcPr>
          <w:p w:rsidR="008975F7" w:rsidRPr="00DA48FC" w:rsidRDefault="008975F7" w:rsidP="00EF3A43">
            <w:pPr>
              <w:contextualSpacing/>
              <w:rPr>
                <w:rFonts w:ascii="Arial" w:hAnsi="Arial" w:cs="Arial"/>
                <w:b/>
                <w:color w:val="FFFFFF" w:themeColor="background1"/>
                <w:sz w:val="24"/>
                <w:szCs w:val="24"/>
              </w:rPr>
            </w:pPr>
            <w:r w:rsidRPr="00DA48FC">
              <w:rPr>
                <w:rFonts w:ascii="Arial" w:hAnsi="Arial" w:cs="Arial"/>
                <w:b/>
                <w:color w:val="FFFFFF" w:themeColor="background1"/>
                <w:sz w:val="24"/>
                <w:szCs w:val="24"/>
              </w:rPr>
              <w:t>How to consult and engage</w:t>
            </w:r>
          </w:p>
        </w:tc>
        <w:tc>
          <w:tcPr>
            <w:tcW w:w="2403" w:type="dxa"/>
            <w:tcBorders>
              <w:bottom w:val="single" w:sz="18" w:space="0" w:color="auto"/>
            </w:tcBorders>
            <w:shd w:val="clear" w:color="auto" w:fill="595959" w:themeFill="text1" w:themeFillTint="A6"/>
          </w:tcPr>
          <w:p w:rsidR="008975F7" w:rsidRPr="00DA48FC" w:rsidRDefault="008975F7" w:rsidP="00EF3A43">
            <w:pPr>
              <w:contextualSpacing/>
              <w:rPr>
                <w:rFonts w:ascii="Arial" w:hAnsi="Arial" w:cs="Arial"/>
                <w:b/>
                <w:color w:val="FFFFFF" w:themeColor="background1"/>
                <w:sz w:val="24"/>
                <w:szCs w:val="24"/>
              </w:rPr>
            </w:pPr>
            <w:r w:rsidRPr="00DA48FC">
              <w:rPr>
                <w:rFonts w:ascii="Arial" w:hAnsi="Arial" w:cs="Arial"/>
                <w:b/>
                <w:color w:val="FFFFFF" w:themeColor="background1"/>
                <w:sz w:val="24"/>
                <w:szCs w:val="24"/>
              </w:rPr>
              <w:t>How to publicise</w:t>
            </w:r>
          </w:p>
        </w:tc>
        <w:tc>
          <w:tcPr>
            <w:tcW w:w="2404" w:type="dxa"/>
            <w:tcBorders>
              <w:bottom w:val="single" w:sz="18" w:space="0" w:color="auto"/>
            </w:tcBorders>
            <w:shd w:val="clear" w:color="auto" w:fill="595959" w:themeFill="text1" w:themeFillTint="A6"/>
          </w:tcPr>
          <w:p w:rsidR="008975F7" w:rsidRPr="00DA48FC" w:rsidRDefault="008975F7" w:rsidP="00EF3A43">
            <w:pPr>
              <w:contextualSpacing/>
              <w:rPr>
                <w:rFonts w:ascii="Arial" w:hAnsi="Arial" w:cs="Arial"/>
                <w:b/>
                <w:color w:val="FFFFFF" w:themeColor="background1"/>
                <w:sz w:val="24"/>
                <w:szCs w:val="24"/>
              </w:rPr>
            </w:pPr>
            <w:r w:rsidRPr="00DA48FC">
              <w:rPr>
                <w:rFonts w:ascii="Arial" w:hAnsi="Arial" w:cs="Arial"/>
                <w:b/>
                <w:color w:val="FFFFFF" w:themeColor="background1"/>
                <w:sz w:val="24"/>
                <w:szCs w:val="24"/>
              </w:rPr>
              <w:t>Who to consult and engage with</w:t>
            </w:r>
          </w:p>
        </w:tc>
      </w:tr>
      <w:tr w:rsidR="008975F7" w:rsidRPr="00DA48FC" w:rsidTr="00DA48FC">
        <w:trPr>
          <w:trHeight w:val="1515"/>
        </w:trPr>
        <w:tc>
          <w:tcPr>
            <w:tcW w:w="1735" w:type="dxa"/>
            <w:tcBorders>
              <w:top w:val="single" w:sz="18" w:space="0" w:color="auto"/>
              <w:bottom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t>Early public involvement (informal, ongoing dialogue)</w:t>
            </w:r>
          </w:p>
          <w:p w:rsidR="008975F7" w:rsidRPr="00DA48FC" w:rsidRDefault="008975F7" w:rsidP="00EF3A43">
            <w:pPr>
              <w:contextualSpacing/>
              <w:rPr>
                <w:rFonts w:ascii="Arial" w:hAnsi="Arial" w:cs="Arial"/>
                <w:sz w:val="24"/>
                <w:szCs w:val="24"/>
              </w:rPr>
            </w:pPr>
            <w:proofErr w:type="spellStart"/>
            <w:r w:rsidRPr="00DA48FC">
              <w:rPr>
                <w:rFonts w:ascii="Arial" w:hAnsi="Arial" w:cs="Arial"/>
                <w:sz w:val="24"/>
                <w:szCs w:val="24"/>
              </w:rPr>
              <w:t>Approx</w:t>
            </w:r>
            <w:proofErr w:type="spellEnd"/>
            <w:r w:rsidRPr="00DA48FC">
              <w:rPr>
                <w:rFonts w:ascii="Arial" w:hAnsi="Arial" w:cs="Arial"/>
                <w:sz w:val="24"/>
                <w:szCs w:val="24"/>
              </w:rPr>
              <w:t xml:space="preserve"> June/July 2016</w:t>
            </w:r>
          </w:p>
        </w:tc>
        <w:tc>
          <w:tcPr>
            <w:tcW w:w="2403" w:type="dxa"/>
            <w:tcBorders>
              <w:top w:val="single" w:sz="18" w:space="0" w:color="auto"/>
              <w:bottom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Members of the public will be asked to contribute to the vision for Oxford 2036. There are likely to be some specific questions about what the document or policies should include- comparing scenarios, commenting on themes or finding out people’s issues and priorities. </w:t>
            </w:r>
          </w:p>
          <w:p w:rsidR="008975F7" w:rsidRPr="00DA48FC" w:rsidRDefault="008975F7" w:rsidP="00EF3A43">
            <w:pPr>
              <w:contextualSpacing/>
              <w:rPr>
                <w:rFonts w:ascii="Arial" w:hAnsi="Arial" w:cs="Arial"/>
                <w:sz w:val="24"/>
                <w:szCs w:val="24"/>
              </w:rPr>
            </w:pPr>
          </w:p>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Early engagement with specialist, community and technical bodies and neighbouring authorities will be important. This is likely to involve discussion about what they expect to see in the </w:t>
            </w:r>
            <w:proofErr w:type="gramStart"/>
            <w:r w:rsidRPr="00DA48FC">
              <w:rPr>
                <w:rFonts w:ascii="Arial" w:hAnsi="Arial" w:cs="Arial"/>
                <w:sz w:val="24"/>
                <w:szCs w:val="24"/>
              </w:rPr>
              <w:t>document,</w:t>
            </w:r>
            <w:proofErr w:type="gramEnd"/>
            <w:r w:rsidRPr="00DA48FC">
              <w:rPr>
                <w:rFonts w:ascii="Arial" w:hAnsi="Arial" w:cs="Arial"/>
                <w:sz w:val="24"/>
                <w:szCs w:val="24"/>
              </w:rPr>
              <w:t xml:space="preserve"> and </w:t>
            </w:r>
            <w:r w:rsidRPr="00DA48FC">
              <w:rPr>
                <w:rFonts w:ascii="Arial" w:hAnsi="Arial" w:cs="Arial"/>
                <w:sz w:val="24"/>
                <w:szCs w:val="24"/>
              </w:rPr>
              <w:lastRenderedPageBreak/>
              <w:t xml:space="preserve">setting up of agreements on how we will co-operate during the Plan period. </w:t>
            </w:r>
          </w:p>
        </w:tc>
        <w:tc>
          <w:tcPr>
            <w:tcW w:w="2403" w:type="dxa"/>
            <w:tcBorders>
              <w:top w:val="single" w:sz="18" w:space="0" w:color="auto"/>
              <w:bottom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lastRenderedPageBreak/>
              <w:t xml:space="preserve">This stage will introduce the project. It will be focused on Information gathering.  </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This stage is intended to be open and aimed at finding out how people wish to see the city develop.</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Enables people to put forward their ideas, highlighting issues and possible solutions and thereby participating in the initial stages of developing proposals and options.  People can shape the plan and are engaged in the process and have a sense of ownership.   </w:t>
            </w:r>
          </w:p>
        </w:tc>
        <w:tc>
          <w:tcPr>
            <w:tcW w:w="2403" w:type="dxa"/>
            <w:tcBorders>
              <w:top w:val="single" w:sz="18" w:space="0" w:color="auto"/>
              <w:bottom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t>Activities to be fun/informal</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Interactive displays</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Workshops/informal drop-ins /1-2-1meetings for those with specific expertise</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Questionnaire/comments postcard</w:t>
            </w:r>
          </w:p>
          <w:p w:rsidR="008975F7" w:rsidRPr="00DA48FC" w:rsidRDefault="008975F7" w:rsidP="00EF3A43">
            <w:pPr>
              <w:contextualSpacing/>
              <w:rPr>
                <w:rFonts w:ascii="Arial" w:hAnsi="Arial" w:cs="Arial"/>
                <w:sz w:val="24"/>
                <w:szCs w:val="24"/>
              </w:rPr>
            </w:pPr>
          </w:p>
          <w:p w:rsidR="008975F7" w:rsidRPr="00DA48FC" w:rsidRDefault="008975F7" w:rsidP="00EF3A43">
            <w:pPr>
              <w:contextualSpacing/>
              <w:rPr>
                <w:rFonts w:ascii="Arial" w:hAnsi="Arial" w:cs="Arial"/>
                <w:sz w:val="24"/>
                <w:szCs w:val="24"/>
              </w:rPr>
            </w:pPr>
            <w:r w:rsidRPr="00DA48FC">
              <w:rPr>
                <w:rFonts w:ascii="Arial" w:hAnsi="Arial" w:cs="Arial"/>
                <w:sz w:val="24"/>
                <w:szCs w:val="24"/>
              </w:rPr>
              <w:t>Possible other methods:</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Potentially send packs to community groups for their help with reaching people</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Look for existing events to attend- and opportunities to introduce the Local Plan and the process.</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Social media</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Create a video presentation for people to view in their own time</w:t>
            </w:r>
          </w:p>
        </w:tc>
        <w:tc>
          <w:tcPr>
            <w:tcW w:w="2403" w:type="dxa"/>
            <w:tcBorders>
              <w:top w:val="single" w:sz="18" w:space="0" w:color="auto"/>
              <w:bottom w:val="single" w:sz="4" w:space="0" w:color="auto"/>
              <w:right w:val="single" w:sz="2"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t>Press release</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Email/letter to contacts</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Flyers</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Posters </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City Council website</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Local interest groups</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Through existing networks such as the Oxford Business Forum</w:t>
            </w:r>
          </w:p>
          <w:p w:rsidR="008975F7" w:rsidRPr="00DA48FC" w:rsidRDefault="008975F7" w:rsidP="00EF3A43">
            <w:pPr>
              <w:contextualSpacing/>
              <w:rPr>
                <w:rFonts w:ascii="Arial" w:hAnsi="Arial" w:cs="Arial"/>
                <w:sz w:val="24"/>
                <w:szCs w:val="24"/>
              </w:rPr>
            </w:pPr>
          </w:p>
          <w:p w:rsidR="008975F7" w:rsidRPr="00DA48FC" w:rsidRDefault="008975F7" w:rsidP="00EF3A43">
            <w:pPr>
              <w:contextualSpacing/>
              <w:rPr>
                <w:rFonts w:ascii="Arial" w:hAnsi="Arial" w:cs="Arial"/>
                <w:sz w:val="24"/>
                <w:szCs w:val="24"/>
              </w:rPr>
            </w:pPr>
          </w:p>
        </w:tc>
        <w:tc>
          <w:tcPr>
            <w:tcW w:w="2404" w:type="dxa"/>
            <w:tcBorders>
              <w:top w:val="single" w:sz="18" w:space="0" w:color="auto"/>
              <w:left w:val="single" w:sz="2" w:space="0" w:color="auto"/>
              <w:bottom w:val="single" w:sz="4"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A wide consultation, trying to get people involved from an early stage. </w:t>
            </w:r>
          </w:p>
          <w:p w:rsidR="008975F7" w:rsidRPr="00DA48FC" w:rsidRDefault="008975F7" w:rsidP="00EF3A43">
            <w:pPr>
              <w:contextualSpacing/>
              <w:rPr>
                <w:rFonts w:ascii="Arial" w:hAnsi="Arial" w:cs="Arial"/>
                <w:sz w:val="24"/>
                <w:szCs w:val="24"/>
              </w:rPr>
            </w:pPr>
          </w:p>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There will also be meetings focused on those with specific expertise and duty to co-operate organisations, </w:t>
            </w:r>
            <w:proofErr w:type="spellStart"/>
            <w:r w:rsidRPr="00DA48FC">
              <w:rPr>
                <w:rFonts w:ascii="Arial" w:hAnsi="Arial" w:cs="Arial"/>
                <w:sz w:val="24"/>
                <w:szCs w:val="24"/>
              </w:rPr>
              <w:t>eg</w:t>
            </w:r>
            <w:proofErr w:type="spellEnd"/>
            <w:r w:rsidRPr="00DA48FC">
              <w:rPr>
                <w:rFonts w:ascii="Arial" w:hAnsi="Arial" w:cs="Arial"/>
                <w:sz w:val="24"/>
                <w:szCs w:val="24"/>
              </w:rPr>
              <w:t xml:space="preserve"> developers or highway engineers, EA, other districts. All key statutory consultees and stakeholders will be contacted. </w:t>
            </w:r>
          </w:p>
          <w:p w:rsidR="008975F7" w:rsidRPr="00DA48FC" w:rsidRDefault="008975F7" w:rsidP="00EF3A43">
            <w:pPr>
              <w:contextualSpacing/>
              <w:rPr>
                <w:rFonts w:ascii="Arial" w:hAnsi="Arial" w:cs="Arial"/>
                <w:sz w:val="24"/>
                <w:szCs w:val="24"/>
              </w:rPr>
            </w:pPr>
          </w:p>
          <w:p w:rsidR="008975F7" w:rsidRPr="00DA48FC" w:rsidRDefault="008975F7" w:rsidP="00EF3A43">
            <w:pPr>
              <w:contextualSpacing/>
              <w:rPr>
                <w:rFonts w:ascii="Arial" w:hAnsi="Arial" w:cs="Arial"/>
                <w:sz w:val="24"/>
                <w:szCs w:val="24"/>
              </w:rPr>
            </w:pPr>
          </w:p>
        </w:tc>
      </w:tr>
      <w:tr w:rsidR="008975F7" w:rsidRPr="00DA48FC" w:rsidTr="00EF3A43">
        <w:trPr>
          <w:trHeight w:val="3453"/>
        </w:trPr>
        <w:tc>
          <w:tcPr>
            <w:tcW w:w="1735" w:type="dxa"/>
            <w:tcBorders>
              <w:top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lastRenderedPageBreak/>
              <w:t>Consultation on emerging options/draft policies</w:t>
            </w:r>
          </w:p>
          <w:p w:rsidR="008975F7" w:rsidRPr="00DA48FC" w:rsidRDefault="008975F7" w:rsidP="00EF3A43">
            <w:pPr>
              <w:contextualSpacing/>
              <w:rPr>
                <w:rFonts w:ascii="Arial" w:hAnsi="Arial" w:cs="Arial"/>
                <w:sz w:val="24"/>
                <w:szCs w:val="24"/>
              </w:rPr>
            </w:pPr>
            <w:proofErr w:type="spellStart"/>
            <w:r w:rsidRPr="00DA48FC">
              <w:rPr>
                <w:rFonts w:ascii="Arial" w:hAnsi="Arial" w:cs="Arial"/>
                <w:sz w:val="24"/>
                <w:szCs w:val="24"/>
              </w:rPr>
              <w:t>Approx</w:t>
            </w:r>
            <w:proofErr w:type="spellEnd"/>
            <w:r w:rsidRPr="00DA48FC">
              <w:rPr>
                <w:rFonts w:ascii="Arial" w:hAnsi="Arial" w:cs="Arial"/>
                <w:sz w:val="24"/>
                <w:szCs w:val="24"/>
              </w:rPr>
              <w:t xml:space="preserve"> June/July 2017</w:t>
            </w:r>
          </w:p>
        </w:tc>
        <w:tc>
          <w:tcPr>
            <w:tcW w:w="2403" w:type="dxa"/>
            <w:tcBorders>
              <w:top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Preferred options document. A document showing preferred options for policy approaches, with other options considered also shown. </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Sustainability Appraisal and evidence base papers or topic papers also to be published. </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The thinking behind selection of the preferred options to be shown clearly. </w:t>
            </w:r>
          </w:p>
        </w:tc>
        <w:tc>
          <w:tcPr>
            <w:tcW w:w="2403" w:type="dxa"/>
            <w:tcBorders>
              <w:top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This stage enables meaningful public engagement in the development of the plan’s policies, enabling them to evaluate different options. . We will show clearly the direction of our thinking so far, providing the wider context for the project and explaining why options are selected as ‘preferred’, and how the results of the previous consultation have been applied.  This will be set out for people to comment on, but they will not be being presented with a draft plan where decisions have already been </w:t>
            </w:r>
            <w:r w:rsidRPr="00DA48FC">
              <w:rPr>
                <w:rFonts w:ascii="Arial" w:hAnsi="Arial" w:cs="Arial"/>
                <w:sz w:val="24"/>
                <w:szCs w:val="24"/>
              </w:rPr>
              <w:lastRenderedPageBreak/>
              <w:t xml:space="preserve">made. </w:t>
            </w:r>
          </w:p>
          <w:p w:rsidR="008975F7" w:rsidRPr="00DA48FC" w:rsidRDefault="008975F7" w:rsidP="00EF3A43">
            <w:pPr>
              <w:contextualSpacing/>
              <w:rPr>
                <w:rFonts w:ascii="Arial" w:hAnsi="Arial" w:cs="Arial"/>
                <w:sz w:val="24"/>
                <w:szCs w:val="24"/>
              </w:rPr>
            </w:pPr>
          </w:p>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There will be scope to make changes to draft policies/preferred options based on the consultation responses.  People can get involved in shaping the document. </w:t>
            </w:r>
          </w:p>
        </w:tc>
        <w:tc>
          <w:tcPr>
            <w:tcW w:w="2403" w:type="dxa"/>
            <w:tcBorders>
              <w:top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lastRenderedPageBreak/>
              <w:t>Formal consultation for 6 weeks or more. The publication of the Preferred Options document will be publicised. People will be encouraged to engage with the document by viewing it and commenting. There will be other methods used to try to engage people and invite feedback, and providing the opportunity for public to meet the team and ask questions:</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Travelling exhibition</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Workshops/meetings</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Questionnaire with possible summary leaflet of preferred options</w:t>
            </w:r>
          </w:p>
          <w:p w:rsidR="008975F7" w:rsidRPr="00DA48FC" w:rsidRDefault="008975F7" w:rsidP="00EF3A43">
            <w:pPr>
              <w:contextualSpacing/>
              <w:rPr>
                <w:rFonts w:ascii="Arial" w:hAnsi="Arial" w:cs="Arial"/>
                <w:sz w:val="24"/>
                <w:szCs w:val="24"/>
              </w:rPr>
            </w:pPr>
          </w:p>
          <w:p w:rsidR="008975F7" w:rsidRPr="00DA48FC" w:rsidRDefault="008975F7" w:rsidP="00EF3A43">
            <w:pPr>
              <w:contextualSpacing/>
              <w:rPr>
                <w:rFonts w:ascii="Arial" w:hAnsi="Arial" w:cs="Arial"/>
                <w:sz w:val="24"/>
                <w:szCs w:val="24"/>
              </w:rPr>
            </w:pPr>
          </w:p>
          <w:p w:rsidR="008975F7" w:rsidRPr="00DA48FC" w:rsidRDefault="008975F7" w:rsidP="00EF3A43">
            <w:pPr>
              <w:contextualSpacing/>
              <w:rPr>
                <w:rFonts w:ascii="Arial" w:hAnsi="Arial" w:cs="Arial"/>
                <w:sz w:val="24"/>
                <w:szCs w:val="24"/>
              </w:rPr>
            </w:pPr>
          </w:p>
          <w:p w:rsidR="008975F7" w:rsidRPr="00DA48FC" w:rsidRDefault="008975F7" w:rsidP="00EF3A43">
            <w:pPr>
              <w:contextualSpacing/>
              <w:rPr>
                <w:rFonts w:ascii="Arial" w:hAnsi="Arial" w:cs="Arial"/>
                <w:sz w:val="24"/>
                <w:szCs w:val="24"/>
              </w:rPr>
            </w:pPr>
          </w:p>
          <w:p w:rsidR="008975F7" w:rsidRPr="00DA48FC" w:rsidRDefault="008975F7" w:rsidP="00EF3A43">
            <w:pPr>
              <w:contextualSpacing/>
              <w:rPr>
                <w:rFonts w:ascii="Arial" w:hAnsi="Arial" w:cs="Arial"/>
                <w:sz w:val="24"/>
                <w:szCs w:val="24"/>
              </w:rPr>
            </w:pPr>
          </w:p>
          <w:p w:rsidR="008975F7" w:rsidRPr="00DA48FC" w:rsidRDefault="008975F7" w:rsidP="00EF3A43">
            <w:pPr>
              <w:contextualSpacing/>
              <w:rPr>
                <w:rFonts w:ascii="Arial" w:hAnsi="Arial" w:cs="Arial"/>
                <w:sz w:val="24"/>
                <w:szCs w:val="24"/>
              </w:rPr>
            </w:pPr>
          </w:p>
        </w:tc>
        <w:tc>
          <w:tcPr>
            <w:tcW w:w="2400" w:type="dxa"/>
            <w:tcBorders>
              <w:top w:val="single" w:sz="18" w:space="0" w:color="auto"/>
              <w:right w:val="single" w:sz="2"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lastRenderedPageBreak/>
              <w:t>Press release</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Contact all those previously involved and those on our contacts database. </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Flyers/posters</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City Council website</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Local interest groups</w:t>
            </w:r>
          </w:p>
        </w:tc>
        <w:tc>
          <w:tcPr>
            <w:tcW w:w="2407" w:type="dxa"/>
            <w:tcBorders>
              <w:top w:val="single" w:sz="18" w:space="0" w:color="auto"/>
              <w:left w:val="single" w:sz="2" w:space="0" w:color="auto"/>
              <w:right w:val="single" w:sz="2"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t>As wide a range of people involved as possible.</w:t>
            </w:r>
          </w:p>
          <w:p w:rsidR="008975F7" w:rsidRPr="00DA48FC" w:rsidRDefault="008975F7" w:rsidP="00EF3A43">
            <w:pPr>
              <w:contextualSpacing/>
              <w:rPr>
                <w:rFonts w:ascii="Arial" w:hAnsi="Arial" w:cs="Arial"/>
                <w:sz w:val="24"/>
                <w:szCs w:val="24"/>
              </w:rPr>
            </w:pPr>
          </w:p>
        </w:tc>
      </w:tr>
      <w:tr w:rsidR="008975F7" w:rsidRPr="00DA48FC" w:rsidTr="00EF3A43">
        <w:tc>
          <w:tcPr>
            <w:tcW w:w="1735" w:type="dxa"/>
            <w:tcBorders>
              <w:top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lastRenderedPageBreak/>
              <w:t>Pre-submission consultation</w:t>
            </w:r>
          </w:p>
          <w:p w:rsidR="008975F7" w:rsidRPr="00DA48FC" w:rsidRDefault="008975F7" w:rsidP="00EF3A43">
            <w:pPr>
              <w:contextualSpacing/>
              <w:rPr>
                <w:rFonts w:ascii="Arial" w:hAnsi="Arial" w:cs="Arial"/>
                <w:sz w:val="24"/>
                <w:szCs w:val="24"/>
              </w:rPr>
            </w:pPr>
            <w:proofErr w:type="spellStart"/>
            <w:r w:rsidRPr="00DA48FC">
              <w:rPr>
                <w:rFonts w:ascii="Arial" w:hAnsi="Arial" w:cs="Arial"/>
                <w:sz w:val="24"/>
                <w:szCs w:val="24"/>
              </w:rPr>
              <w:t>Approx</w:t>
            </w:r>
            <w:proofErr w:type="spellEnd"/>
            <w:r w:rsidRPr="00DA48FC">
              <w:rPr>
                <w:rFonts w:ascii="Arial" w:hAnsi="Arial" w:cs="Arial"/>
                <w:sz w:val="24"/>
                <w:szCs w:val="24"/>
              </w:rPr>
              <w:t xml:space="preserve"> June/July 2018</w:t>
            </w:r>
          </w:p>
        </w:tc>
        <w:tc>
          <w:tcPr>
            <w:tcW w:w="2403" w:type="dxa"/>
            <w:tcBorders>
              <w:top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Publish document. </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Also publish key evidence base studies and SA. </w:t>
            </w:r>
          </w:p>
        </w:tc>
        <w:tc>
          <w:tcPr>
            <w:tcW w:w="2403" w:type="dxa"/>
            <w:tcBorders>
              <w:top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People have the opportunity to comment on the draft. </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There is only scope to make relatively minor changes. </w:t>
            </w:r>
          </w:p>
        </w:tc>
        <w:tc>
          <w:tcPr>
            <w:tcW w:w="2403" w:type="dxa"/>
            <w:tcBorders>
              <w:top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Publish document with comment form. </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Summary version with questionnaire</w:t>
            </w:r>
          </w:p>
          <w:p w:rsidR="008975F7" w:rsidRPr="00DA48FC" w:rsidRDefault="008975F7" w:rsidP="00EF3A43">
            <w:pPr>
              <w:contextualSpacing/>
              <w:rPr>
                <w:rFonts w:ascii="Arial" w:hAnsi="Arial" w:cs="Arial"/>
                <w:sz w:val="24"/>
                <w:szCs w:val="24"/>
              </w:rPr>
            </w:pPr>
            <w:r w:rsidRPr="00DA48FC">
              <w:rPr>
                <w:rFonts w:ascii="Arial" w:hAnsi="Arial" w:cs="Arial"/>
                <w:sz w:val="24"/>
                <w:szCs w:val="24"/>
              </w:rPr>
              <w:t>Exhibitions / posters</w:t>
            </w:r>
          </w:p>
        </w:tc>
        <w:tc>
          <w:tcPr>
            <w:tcW w:w="2403" w:type="dxa"/>
            <w:tcBorders>
              <w:top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t xml:space="preserve">All those previously involved, consultee database, press release. </w:t>
            </w:r>
          </w:p>
        </w:tc>
        <w:tc>
          <w:tcPr>
            <w:tcW w:w="2404" w:type="dxa"/>
            <w:tcBorders>
              <w:top w:val="single" w:sz="18" w:space="0" w:color="auto"/>
            </w:tcBorders>
          </w:tcPr>
          <w:p w:rsidR="008975F7" w:rsidRPr="00DA48FC" w:rsidRDefault="008975F7" w:rsidP="00EF3A43">
            <w:pPr>
              <w:contextualSpacing/>
              <w:rPr>
                <w:rFonts w:ascii="Arial" w:hAnsi="Arial" w:cs="Arial"/>
                <w:sz w:val="24"/>
                <w:szCs w:val="24"/>
              </w:rPr>
            </w:pPr>
            <w:r w:rsidRPr="00DA48FC">
              <w:rPr>
                <w:rFonts w:ascii="Arial" w:hAnsi="Arial" w:cs="Arial"/>
                <w:sz w:val="24"/>
                <w:szCs w:val="24"/>
              </w:rPr>
              <w:t>Focus on list of consultees and all involved at earlier stages</w:t>
            </w:r>
          </w:p>
        </w:tc>
      </w:tr>
    </w:tbl>
    <w:p w:rsidR="008975F7" w:rsidRPr="00DA48FC" w:rsidRDefault="008975F7" w:rsidP="008975F7">
      <w:pPr>
        <w:rPr>
          <w:rFonts w:cs="Arial"/>
        </w:rPr>
      </w:pPr>
    </w:p>
    <w:p w:rsidR="008A22C6" w:rsidRPr="00DA48FC" w:rsidRDefault="008A22C6" w:rsidP="008A22C6">
      <w:pPr>
        <w:rPr>
          <w:rFonts w:cs="Arial"/>
        </w:rPr>
      </w:pPr>
    </w:p>
    <w:sectPr w:rsidR="008A22C6" w:rsidRPr="00DA48FC" w:rsidSect="002026C7">
      <w:pgSz w:w="16840" w:h="11907" w:orient="landscape" w:code="9"/>
      <w:pgMar w:top="1258" w:right="460" w:bottom="1258"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F7"/>
    <w:rsid w:val="000B4310"/>
    <w:rsid w:val="004000D7"/>
    <w:rsid w:val="00504E43"/>
    <w:rsid w:val="007908F4"/>
    <w:rsid w:val="008975F7"/>
    <w:rsid w:val="008A22C6"/>
    <w:rsid w:val="00C07F80"/>
    <w:rsid w:val="00DA48FC"/>
    <w:rsid w:val="00F634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F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5F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F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5F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D29E-1E64-401A-B6D9-B1FE73F1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B84C92AE</Template>
  <TotalTime>6</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sarah.harrison</dc:creator>
  <cp:lastModifiedBy>sclaridge</cp:lastModifiedBy>
  <cp:revision>3</cp:revision>
  <dcterms:created xsi:type="dcterms:W3CDTF">2017-04-27T12:25:00Z</dcterms:created>
  <dcterms:modified xsi:type="dcterms:W3CDTF">2017-05-31T15:57:00Z</dcterms:modified>
</cp:coreProperties>
</file>